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 w:rsidRPr="000D1432">
        <w:rPr>
          <w:rFonts w:cs="Times New Roman"/>
          <w:b/>
        </w:rPr>
        <w:t>Hazards and Natural Capital</w:t>
      </w:r>
      <w:r>
        <w:rPr>
          <w:rFonts w:cs="Times New Roman"/>
          <w:b/>
        </w:rPr>
        <w:t xml:space="preserve"> (HANC)</w:t>
      </w:r>
      <w:r w:rsidRPr="000D1432">
        <w:rPr>
          <w:rFonts w:cs="Times New Roman"/>
          <w:b/>
        </w:rPr>
        <w:t xml:space="preserve"> Interagency Working Group </w:t>
      </w:r>
    </w:p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Meeting Notes – </w:t>
      </w:r>
      <w:r w:rsidR="004419E0">
        <w:rPr>
          <w:rFonts w:cs="Times New Roman"/>
          <w:b/>
        </w:rPr>
        <w:t>February 20</w:t>
      </w:r>
      <w:r>
        <w:rPr>
          <w:rFonts w:cs="Times New Roman"/>
          <w:b/>
        </w:rPr>
        <w:t>, 202</w:t>
      </w:r>
      <w:r w:rsidR="00831AE3">
        <w:rPr>
          <w:rFonts w:cs="Times New Roman"/>
          <w:b/>
        </w:rPr>
        <w:t>4</w:t>
      </w:r>
    </w:p>
    <w:p w:rsidR="001836B6" w:rsidRDefault="001836B6" w:rsidP="007D145C">
      <w:pPr>
        <w:rPr>
          <w:rFonts w:cs="Times New Roman"/>
          <w:szCs w:val="24"/>
          <w:u w:val="single"/>
        </w:rPr>
      </w:pPr>
    </w:p>
    <w:p w:rsidR="007D145C" w:rsidRDefault="007D145C" w:rsidP="007D145C">
      <w:pPr>
        <w:rPr>
          <w:rFonts w:cs="Times New Roman"/>
          <w:szCs w:val="24"/>
        </w:rPr>
      </w:pPr>
      <w:r w:rsidRPr="009462BE">
        <w:rPr>
          <w:rFonts w:cs="Times New Roman"/>
          <w:szCs w:val="24"/>
          <w:u w:val="single"/>
        </w:rPr>
        <w:t>Present</w:t>
      </w:r>
      <w:r w:rsidRPr="00F562B2">
        <w:rPr>
          <w:rFonts w:cs="Times New Roman"/>
          <w:szCs w:val="24"/>
        </w:rPr>
        <w:t>:</w:t>
      </w:r>
      <w:r w:rsidRPr="009462BE">
        <w:rPr>
          <w:rFonts w:cs="Times New Roman"/>
          <w:szCs w:val="24"/>
        </w:rPr>
        <w:t xml:space="preserve"> </w:t>
      </w:r>
      <w:r w:rsidRPr="0062334D">
        <w:rPr>
          <w:rFonts w:cs="Times New Roman"/>
          <w:szCs w:val="24"/>
          <w:highlight w:val="yellow"/>
        </w:rPr>
        <w:t>highlighted</w:t>
      </w:r>
      <w:r>
        <w:rPr>
          <w:rFonts w:cs="Times New Roman"/>
          <w:szCs w:val="24"/>
        </w:rPr>
        <w:t xml:space="preserve"> = in attendance</w:t>
      </w:r>
    </w:p>
    <w:p w:rsidR="007D145C" w:rsidRDefault="007D145C" w:rsidP="007D145C">
      <w:pPr>
        <w:rPr>
          <w:b/>
          <w:bCs/>
        </w:rPr>
      </w:pPr>
      <w:r>
        <w:rPr>
          <w:b/>
          <w:bCs/>
        </w:rPr>
        <w:t>HANC IWG Roster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C142D4">
              <w:rPr>
                <w:rFonts w:ascii="Calibri" w:eastAsia="Times New Roman" w:hAnsi="Calibri" w:cs="Calibri"/>
                <w:color w:val="000000"/>
                <w:highlight w:val="yellow"/>
              </w:rPr>
              <w:t>Matthew Chambers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C142D4">
              <w:rPr>
                <w:rFonts w:ascii="Calibri" w:eastAsia="Times New Roman" w:hAnsi="Calibri" w:cs="Calibri"/>
                <w:color w:val="000000"/>
                <w:highlight w:val="yellow"/>
              </w:rPr>
              <w:t>Adam Smith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C142D4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John </w:t>
            </w:r>
            <w:proofErr w:type="spellStart"/>
            <w:r w:rsidRPr="00C142D4">
              <w:rPr>
                <w:rFonts w:ascii="Calibri" w:eastAsia="Times New Roman" w:hAnsi="Calibri" w:cs="Calibri"/>
                <w:color w:val="000000"/>
                <w:highlight w:val="yellow"/>
              </w:rPr>
              <w:t>Voorheis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OSTP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C142D4">
              <w:rPr>
                <w:rFonts w:ascii="Calibri" w:eastAsia="Times New Roman" w:hAnsi="Calibri" w:cs="Calibri"/>
                <w:color w:val="000000"/>
                <w:highlight w:val="yellow"/>
              </w:rPr>
              <w:t>Kris Ludwig*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Chip Walker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Treasury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C142D4">
              <w:rPr>
                <w:rFonts w:ascii="Calibri" w:eastAsia="Times New Roman" w:hAnsi="Calibri" w:cs="Calibri"/>
                <w:color w:val="000000"/>
                <w:highlight w:val="yellow"/>
              </w:rPr>
              <w:t>Andrew Martinez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EPA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C142D4">
              <w:rPr>
                <w:rFonts w:ascii="Calibri" w:eastAsia="Times New Roman" w:hAnsi="Calibri" w:cs="Calibri"/>
                <w:color w:val="000000"/>
                <w:highlight w:val="yellow"/>
              </w:rPr>
              <w:t>Marc Russell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USACE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Emma Ross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DOI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C142D4">
              <w:rPr>
                <w:rFonts w:ascii="Calibri" w:eastAsia="Times New Roman" w:hAnsi="Calibri" w:cs="Calibri"/>
                <w:color w:val="000000"/>
                <w:highlight w:val="yellow"/>
              </w:rPr>
              <w:t>Christian Crowley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USDA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C142D4">
              <w:rPr>
                <w:rFonts w:ascii="Calibri" w:eastAsia="Times New Roman" w:hAnsi="Calibri" w:cs="Calibri"/>
                <w:color w:val="000000"/>
                <w:highlight w:val="yellow"/>
              </w:rPr>
              <w:t>Laura Paul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Federal Reserve Bank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C142D4">
              <w:rPr>
                <w:rFonts w:ascii="Calibri" w:eastAsia="Times New Roman" w:hAnsi="Calibri" w:cs="Calibri"/>
                <w:color w:val="000000"/>
                <w:highlight w:val="yellow"/>
              </w:rPr>
              <w:t>Leonard Nakamura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Tom Brandeis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FEMA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proofErr w:type="spellStart"/>
            <w:r w:rsidRPr="007370E3">
              <w:rPr>
                <w:rFonts w:ascii="Calibri" w:eastAsia="Times New Roman" w:hAnsi="Calibri" w:cs="Calibri"/>
                <w:color w:val="000000"/>
              </w:rPr>
              <w:t>Dayra</w:t>
            </w:r>
            <w:proofErr w:type="spellEnd"/>
            <w:r w:rsidRPr="007370E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370E3">
              <w:rPr>
                <w:rFonts w:ascii="Calibri" w:eastAsia="Times New Roman" w:hAnsi="Calibri" w:cs="Calibri"/>
                <w:color w:val="000000"/>
              </w:rPr>
              <w:t>Carvaja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 xml:space="preserve">Travis </w:t>
            </w:r>
            <w:proofErr w:type="spellStart"/>
            <w:r w:rsidRPr="007370E3">
              <w:rPr>
                <w:rFonts w:ascii="Calibri" w:eastAsia="Times New Roman" w:hAnsi="Calibri" w:cs="Calibri"/>
                <w:color w:val="000000"/>
              </w:rPr>
              <w:t>Warziniack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HHS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 xml:space="preserve">Daniel </w:t>
            </w:r>
            <w:proofErr w:type="spellStart"/>
            <w:r w:rsidRPr="007370E3">
              <w:rPr>
                <w:rFonts w:ascii="Calibri" w:eastAsia="Times New Roman" w:hAnsi="Calibri" w:cs="Calibri"/>
                <w:color w:val="000000"/>
              </w:rPr>
              <w:t>Dodgen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871A74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Ken </w:t>
            </w:r>
            <w:proofErr w:type="spellStart"/>
            <w:r w:rsidRPr="00871A74">
              <w:rPr>
                <w:rFonts w:ascii="Calibri" w:eastAsia="Times New Roman" w:hAnsi="Calibri" w:cs="Calibri"/>
                <w:color w:val="000000"/>
                <w:highlight w:val="yellow"/>
              </w:rPr>
              <w:t>Bagstad</w:t>
            </w:r>
            <w:proofErr w:type="spellEnd"/>
            <w:r w:rsidRPr="00871A74">
              <w:rPr>
                <w:rFonts w:ascii="Calibri" w:eastAsia="Times New Roman" w:hAnsi="Calibri" w:cs="Calibri"/>
                <w:color w:val="000000"/>
                <w:highlight w:val="yellow"/>
              </w:rPr>
              <w:t>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r w:rsidRPr="00871A74">
              <w:rPr>
                <w:highlight w:val="yellow"/>
              </w:rPr>
              <w:t>George Gardner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C142D4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Alice </w:t>
            </w:r>
            <w:proofErr w:type="spellStart"/>
            <w:r w:rsidRPr="00C142D4">
              <w:rPr>
                <w:rFonts w:ascii="Calibri" w:eastAsia="Times New Roman" w:hAnsi="Calibri" w:cs="Calibri"/>
                <w:color w:val="000000"/>
                <w:highlight w:val="yellow"/>
              </w:rPr>
              <w:t>Pennaz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871A74">
              <w:rPr>
                <w:rFonts w:ascii="Calibri" w:eastAsia="Times New Roman" w:hAnsi="Calibri" w:cs="Calibri"/>
                <w:color w:val="000000"/>
                <w:highlight w:val="yellow"/>
              </w:rPr>
              <w:t>Monica Grasso*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7370E3" w:rsidRDefault="007D145C" w:rsidP="00F256DF">
            <w:pPr>
              <w:rPr>
                <w:b/>
                <w:bCs/>
              </w:rPr>
            </w:pPr>
            <w:r w:rsidRPr="007370E3">
              <w:rPr>
                <w:rFonts w:ascii="Calibri" w:eastAsia="Times New Roman" w:hAnsi="Calibri" w:cs="Calibri"/>
                <w:color w:val="000000"/>
              </w:rPr>
              <w:t>Aleeza Wilkins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Julie Hass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 xml:space="preserve">Scott </w:t>
            </w:r>
            <w:proofErr w:type="spellStart"/>
            <w:r w:rsidRPr="00517EB9">
              <w:rPr>
                <w:rFonts w:ascii="Calibri" w:eastAsia="Times New Roman" w:hAnsi="Calibri" w:cs="Calibri"/>
                <w:color w:val="000000"/>
              </w:rPr>
              <w:t>Wentland</w:t>
            </w:r>
            <w:proofErr w:type="spellEnd"/>
          </w:p>
        </w:tc>
      </w:tr>
    </w:tbl>
    <w:p w:rsidR="007D145C" w:rsidRDefault="007D145C" w:rsidP="007D145C">
      <w:pPr>
        <w:spacing w:after="0" w:line="240" w:lineRule="auto"/>
      </w:pPr>
      <w:r>
        <w:t>* Co-chair</w:t>
      </w:r>
    </w:p>
    <w:p w:rsidR="007D145C" w:rsidRDefault="007D145C" w:rsidP="007D145C">
      <w:pPr>
        <w:ind w:left="720" w:hanging="360"/>
      </w:pPr>
    </w:p>
    <w:p w:rsidR="00A6720C" w:rsidRDefault="00A6720C" w:rsidP="0002239A">
      <w:pPr>
        <w:rPr>
          <w:rFonts w:cs="Times New Roman"/>
        </w:rPr>
      </w:pPr>
      <w:r>
        <w:rPr>
          <w:rFonts w:cs="Times New Roman"/>
          <w:u w:val="single"/>
        </w:rPr>
        <w:t>Agenda</w:t>
      </w:r>
      <w:r>
        <w:rPr>
          <w:rFonts w:cs="Times New Roman"/>
        </w:rPr>
        <w:t>:</w:t>
      </w:r>
    </w:p>
    <w:p w:rsidR="004419E0" w:rsidRDefault="007370E3" w:rsidP="004419E0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 xml:space="preserve">Adam Rose - </w:t>
      </w:r>
      <w:r w:rsidRPr="007370E3">
        <w:rPr>
          <w:rFonts w:cs="Times New Roman"/>
        </w:rPr>
        <w:t>Supply Chain impacts of climate change</w:t>
      </w:r>
      <w:r w:rsidR="004419E0">
        <w:rPr>
          <w:rFonts w:cs="Times New Roman"/>
        </w:rPr>
        <w:t>.</w:t>
      </w:r>
    </w:p>
    <w:p w:rsidR="004419E0" w:rsidRDefault="004419E0" w:rsidP="004419E0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Breakout into writing groups:</w:t>
      </w:r>
    </w:p>
    <w:p w:rsidR="004419E0" w:rsidRPr="004419E0" w:rsidRDefault="004419E0" w:rsidP="004419E0">
      <w:pPr>
        <w:pStyle w:val="ListParagraph"/>
        <w:numPr>
          <w:ilvl w:val="1"/>
          <w:numId w:val="2"/>
        </w:numPr>
        <w:rPr>
          <w:rFonts w:cs="Times New Roman"/>
        </w:rPr>
      </w:pPr>
      <w:r>
        <w:rPr>
          <w:rFonts w:ascii="Calibri" w:hAnsi="Calibri" w:cs="Calibri"/>
          <w:color w:val="000000"/>
          <w:shd w:val="clear" w:color="auto" w:fill="FFFFFF"/>
        </w:rPr>
        <w:t>1) Importance of hazard accounts.</w:t>
      </w:r>
    </w:p>
    <w:p w:rsidR="004419E0" w:rsidRPr="004419E0" w:rsidRDefault="004419E0" w:rsidP="004419E0">
      <w:pPr>
        <w:pStyle w:val="ListParagraph"/>
        <w:numPr>
          <w:ilvl w:val="1"/>
          <w:numId w:val="2"/>
        </w:numPr>
        <w:rPr>
          <w:rFonts w:cs="Times New Roman"/>
        </w:rPr>
      </w:pPr>
      <w:r>
        <w:rPr>
          <w:rFonts w:ascii="Calibri" w:hAnsi="Calibri" w:cs="Calibri"/>
          <w:color w:val="000000"/>
          <w:shd w:val="clear" w:color="auto" w:fill="FFFFFF"/>
        </w:rPr>
        <w:t>2) the role of hazard accounts within the larger U.S. system of environmental-economic accounts.</w:t>
      </w:r>
    </w:p>
    <w:p w:rsidR="0002239A" w:rsidRDefault="0002239A" w:rsidP="0002239A">
      <w:pPr>
        <w:rPr>
          <w:rFonts w:cs="Times New Roman"/>
        </w:rPr>
      </w:pPr>
      <w:r>
        <w:rPr>
          <w:rFonts w:cs="Times New Roman"/>
          <w:u w:val="single"/>
        </w:rPr>
        <w:t>Key Discussion Points</w:t>
      </w:r>
      <w:r w:rsidRPr="00F562B2">
        <w:rPr>
          <w:rFonts w:cs="Times New Roman"/>
        </w:rPr>
        <w:t>:</w:t>
      </w:r>
    </w:p>
    <w:p w:rsidR="004419E0" w:rsidRDefault="004419E0" w:rsidP="004419E0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 xml:space="preserve">Adam Rose - </w:t>
      </w:r>
      <w:r w:rsidRPr="007370E3">
        <w:rPr>
          <w:rFonts w:cs="Times New Roman"/>
        </w:rPr>
        <w:t>Supply Chain impacts of climate change</w:t>
      </w:r>
      <w:r>
        <w:rPr>
          <w:rFonts w:cs="Times New Roman"/>
        </w:rPr>
        <w:t>:</w:t>
      </w:r>
    </w:p>
    <w:p w:rsidR="00AC0ED5" w:rsidRDefault="00CD2A60" w:rsidP="004419E0">
      <w:pPr>
        <w:pStyle w:val="ListParagraph"/>
        <w:numPr>
          <w:ilvl w:val="1"/>
          <w:numId w:val="3"/>
        </w:numPr>
      </w:pPr>
      <w:r>
        <w:t>Economic consequence analysis framework, resilience, behavioral responses, environmental benefits of hazard mitigation, E-cat tool.</w:t>
      </w:r>
    </w:p>
    <w:p w:rsidR="00CD2A60" w:rsidRDefault="00CD2A60" w:rsidP="00CD2A60">
      <w:pPr>
        <w:pStyle w:val="ListParagraph"/>
        <w:numPr>
          <w:ilvl w:val="0"/>
          <w:numId w:val="3"/>
        </w:numPr>
      </w:pPr>
      <w:r>
        <w:t>Impacts of hazards – damage to physical assets, disruption of flows of goods and services.</w:t>
      </w:r>
    </w:p>
    <w:p w:rsidR="00CD2A60" w:rsidRDefault="00CD2A60" w:rsidP="00CD2A60">
      <w:pPr>
        <w:pStyle w:val="ListParagraph"/>
        <w:numPr>
          <w:ilvl w:val="0"/>
          <w:numId w:val="3"/>
        </w:numPr>
      </w:pPr>
      <w:r>
        <w:t>Economic consequence analysis has shown that flow disruption costs are often greater than physical damages.</w:t>
      </w:r>
    </w:p>
    <w:p w:rsidR="00CD2A60" w:rsidRDefault="00FD2FBB" w:rsidP="00CD2A60">
      <w:pPr>
        <w:pStyle w:val="ListParagraph"/>
        <w:numPr>
          <w:ilvl w:val="0"/>
          <w:numId w:val="3"/>
        </w:numPr>
      </w:pPr>
      <w:r>
        <w:t>Adding stock and flow impacts will not result in double-counting.</w:t>
      </w:r>
    </w:p>
    <w:p w:rsidR="00FD2FBB" w:rsidRDefault="002B26E4" w:rsidP="00CD2A60">
      <w:pPr>
        <w:pStyle w:val="ListParagraph"/>
        <w:numPr>
          <w:ilvl w:val="0"/>
          <w:numId w:val="3"/>
        </w:numPr>
      </w:pPr>
      <w:r>
        <w:t>Economic consequence analysis</w:t>
      </w:r>
      <w:r w:rsidR="00114041">
        <w:t xml:space="preserve"> (ECA) is the modernization of traditional economic impact analysis.</w:t>
      </w:r>
    </w:p>
    <w:p w:rsidR="00114041" w:rsidRDefault="00114041" w:rsidP="00114041">
      <w:pPr>
        <w:pStyle w:val="ListParagraph"/>
        <w:numPr>
          <w:ilvl w:val="1"/>
          <w:numId w:val="3"/>
        </w:numPr>
      </w:pPr>
      <w:r>
        <w:t>ECA refers to direct property and health effects, as well as economic stimulus and supply-chain impacts.</w:t>
      </w:r>
    </w:p>
    <w:p w:rsidR="00114041" w:rsidRDefault="00114041" w:rsidP="00114041">
      <w:pPr>
        <w:pStyle w:val="ListParagraph"/>
        <w:numPr>
          <w:ilvl w:val="1"/>
          <w:numId w:val="3"/>
        </w:numPr>
      </w:pPr>
      <w:r>
        <w:t>Accounts for non-linearities and input/import substitution.</w:t>
      </w:r>
    </w:p>
    <w:p w:rsidR="00114041" w:rsidRDefault="00114041" w:rsidP="00114041">
      <w:pPr>
        <w:pStyle w:val="ListParagraph"/>
        <w:numPr>
          <w:ilvl w:val="1"/>
          <w:numId w:val="3"/>
        </w:numPr>
      </w:pPr>
      <w:r>
        <w:t>Introduces resilience and responses to hazards an</w:t>
      </w:r>
      <w:r w:rsidR="000C5516">
        <w:t>d disasters</w:t>
      </w:r>
      <w:r>
        <w:t>.</w:t>
      </w:r>
    </w:p>
    <w:p w:rsidR="000C0D92" w:rsidRDefault="000C0D92" w:rsidP="00114041">
      <w:pPr>
        <w:pStyle w:val="ListParagraph"/>
        <w:numPr>
          <w:ilvl w:val="1"/>
          <w:numId w:val="3"/>
        </w:numPr>
      </w:pPr>
      <w:r>
        <w:t>Can be used in BCA by including mitigation costs (as well as spillover events).</w:t>
      </w:r>
    </w:p>
    <w:p w:rsidR="000C0D92" w:rsidRDefault="000C0D92" w:rsidP="00964F3A">
      <w:pPr>
        <w:pStyle w:val="ListParagraph"/>
        <w:numPr>
          <w:ilvl w:val="0"/>
          <w:numId w:val="3"/>
        </w:numPr>
      </w:pPr>
      <w:r>
        <w:t>Disaster resilience</w:t>
      </w:r>
      <w:r w:rsidR="00964F3A">
        <w:t xml:space="preserve"> - b</w:t>
      </w:r>
      <w:r w:rsidR="00D01FDA">
        <w:t>usiness interruption measured in terms of lost revenue, etc.</w:t>
      </w:r>
    </w:p>
    <w:p w:rsidR="00D01FDA" w:rsidRDefault="00D01FDA" w:rsidP="00964F3A">
      <w:pPr>
        <w:pStyle w:val="ListParagraph"/>
        <w:numPr>
          <w:ilvl w:val="0"/>
          <w:numId w:val="3"/>
        </w:numPr>
      </w:pPr>
      <w:r>
        <w:lastRenderedPageBreak/>
        <w:t>Economic resilience</w:t>
      </w:r>
      <w:r w:rsidR="00964F3A">
        <w:t xml:space="preserve"> m</w:t>
      </w:r>
      <w:r>
        <w:t>etric = averted losses as percentage of potential losses.</w:t>
      </w:r>
      <w:r w:rsidR="00964F3A">
        <w:t xml:space="preserve"> Avoided loss relative to maximum potential loss.</w:t>
      </w:r>
    </w:p>
    <w:p w:rsidR="00964F3A" w:rsidRDefault="00964F3A" w:rsidP="00964F3A">
      <w:pPr>
        <w:pStyle w:val="ListParagraph"/>
        <w:numPr>
          <w:ilvl w:val="1"/>
          <w:numId w:val="3"/>
        </w:numPr>
      </w:pPr>
      <w:r>
        <w:t>Resilience tactics – relocation (see table in slides for more exhaustive list).</w:t>
      </w:r>
    </w:p>
    <w:p w:rsidR="00964F3A" w:rsidRDefault="00964F3A" w:rsidP="00964F3A">
      <w:pPr>
        <w:pStyle w:val="ListParagraph"/>
        <w:numPr>
          <w:ilvl w:val="0"/>
          <w:numId w:val="3"/>
        </w:numPr>
      </w:pPr>
      <w:r>
        <w:t>Behavioral linkages – on-site and off-site responses to threats</w:t>
      </w:r>
    </w:p>
    <w:p w:rsidR="00964F3A" w:rsidRDefault="00964F3A" w:rsidP="00964F3A">
      <w:pPr>
        <w:pStyle w:val="ListParagraph"/>
        <w:numPr>
          <w:ilvl w:val="1"/>
          <w:numId w:val="3"/>
        </w:numPr>
      </w:pPr>
      <w:r>
        <w:t xml:space="preserve">On-site response associated with chemical, biological, nuclear threats (e.g., superfund, </w:t>
      </w:r>
      <w:proofErr w:type="spellStart"/>
      <w:r>
        <w:t>covid</w:t>
      </w:r>
      <w:proofErr w:type="spellEnd"/>
      <w:r>
        <w:t>)</w:t>
      </w:r>
    </w:p>
    <w:p w:rsidR="00964F3A" w:rsidRDefault="00964F3A" w:rsidP="00964F3A">
      <w:pPr>
        <w:pStyle w:val="ListParagraph"/>
        <w:numPr>
          <w:ilvl w:val="0"/>
          <w:numId w:val="3"/>
        </w:numPr>
      </w:pPr>
      <w:r>
        <w:t>Mitigation Saves report to congress – examined prevented losses (water quality, recreational use, flood mitigation).</w:t>
      </w:r>
    </w:p>
    <w:p w:rsidR="00964F3A" w:rsidRDefault="00964F3A" w:rsidP="00964F3A">
      <w:pPr>
        <w:pStyle w:val="ListParagraph"/>
        <w:numPr>
          <w:ilvl w:val="0"/>
          <w:numId w:val="3"/>
        </w:numPr>
      </w:pPr>
      <w:r>
        <w:t>E-CAT decision support tool – capability to estimate economic consequences of 30+ types of threats</w:t>
      </w:r>
      <w:r w:rsidR="00586F50">
        <w:t>.</w:t>
      </w:r>
    </w:p>
    <w:p w:rsidR="00586F50" w:rsidRDefault="00586F50" w:rsidP="00586F50">
      <w:pPr>
        <w:pStyle w:val="ListParagraph"/>
        <w:numPr>
          <w:ilvl w:val="1"/>
          <w:numId w:val="3"/>
        </w:numPr>
      </w:pPr>
      <w:r>
        <w:t>User chooses disaster, type of uncertainty to display. Outputs GDP and employment losses.</w:t>
      </w:r>
    </w:p>
    <w:p w:rsidR="00586F50" w:rsidRDefault="00586F50" w:rsidP="00586F50">
      <w:pPr>
        <w:pStyle w:val="ListParagraph"/>
        <w:numPr>
          <w:ilvl w:val="1"/>
          <w:numId w:val="3"/>
        </w:numPr>
      </w:pPr>
      <w:r>
        <w:t>Uses CGE state-of-the-art model.</w:t>
      </w:r>
    </w:p>
    <w:p w:rsidR="00DD3750" w:rsidRDefault="007E52B4" w:rsidP="00453634">
      <w:pPr>
        <w:pStyle w:val="ListParagraph"/>
        <w:numPr>
          <w:ilvl w:val="0"/>
          <w:numId w:val="3"/>
        </w:numPr>
      </w:pPr>
      <w:r>
        <w:t>Currently focused on compound events.</w:t>
      </w:r>
    </w:p>
    <w:p w:rsidR="00C14F2D" w:rsidRDefault="00C14F2D" w:rsidP="00C14F2D">
      <w:r w:rsidRPr="00C14F2D">
        <w:rPr>
          <w:u w:val="single"/>
        </w:rPr>
        <w:t>Next Steps</w:t>
      </w:r>
      <w:r>
        <w:t>:</w:t>
      </w:r>
    </w:p>
    <w:p w:rsidR="00C14F2D" w:rsidRDefault="00C14F2D" w:rsidP="00453634">
      <w:pPr>
        <w:pStyle w:val="ListParagraph"/>
        <w:numPr>
          <w:ilvl w:val="0"/>
          <w:numId w:val="3"/>
        </w:numPr>
      </w:pPr>
      <w:r>
        <w:t>Work on writing assigned sections of the implementation plan.</w:t>
      </w:r>
      <w:bookmarkStart w:id="0" w:name="_GoBack"/>
      <w:bookmarkEnd w:id="0"/>
    </w:p>
    <w:sectPr w:rsidR="00C14F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36B0E"/>
    <w:multiLevelType w:val="hybridMultilevel"/>
    <w:tmpl w:val="9A3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C0C4C"/>
    <w:multiLevelType w:val="hybridMultilevel"/>
    <w:tmpl w:val="CB12E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C07EC"/>
    <w:multiLevelType w:val="hybridMultilevel"/>
    <w:tmpl w:val="12E4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C"/>
    <w:rsid w:val="0002239A"/>
    <w:rsid w:val="00032C75"/>
    <w:rsid w:val="000722FA"/>
    <w:rsid w:val="000C0D92"/>
    <w:rsid w:val="000C5516"/>
    <w:rsid w:val="001035CD"/>
    <w:rsid w:val="00114041"/>
    <w:rsid w:val="00150336"/>
    <w:rsid w:val="0015608C"/>
    <w:rsid w:val="001804DA"/>
    <w:rsid w:val="001836B6"/>
    <w:rsid w:val="00190A53"/>
    <w:rsid w:val="001B6809"/>
    <w:rsid w:val="002B26E4"/>
    <w:rsid w:val="002B6796"/>
    <w:rsid w:val="002D67C9"/>
    <w:rsid w:val="002E35C8"/>
    <w:rsid w:val="002E7454"/>
    <w:rsid w:val="002F71F3"/>
    <w:rsid w:val="002F785C"/>
    <w:rsid w:val="00330322"/>
    <w:rsid w:val="003727D4"/>
    <w:rsid w:val="00392F82"/>
    <w:rsid w:val="003C4F2F"/>
    <w:rsid w:val="004419E0"/>
    <w:rsid w:val="00453634"/>
    <w:rsid w:val="004F3200"/>
    <w:rsid w:val="00517EB9"/>
    <w:rsid w:val="00580918"/>
    <w:rsid w:val="00586F50"/>
    <w:rsid w:val="005947EE"/>
    <w:rsid w:val="006200F1"/>
    <w:rsid w:val="00635AF3"/>
    <w:rsid w:val="006A72A9"/>
    <w:rsid w:val="007370E3"/>
    <w:rsid w:val="007B34B7"/>
    <w:rsid w:val="007D145C"/>
    <w:rsid w:val="007E52B4"/>
    <w:rsid w:val="007F59DD"/>
    <w:rsid w:val="00831AE3"/>
    <w:rsid w:val="00871A74"/>
    <w:rsid w:val="00890109"/>
    <w:rsid w:val="008B3BA5"/>
    <w:rsid w:val="008C79C0"/>
    <w:rsid w:val="008F2623"/>
    <w:rsid w:val="00904AAF"/>
    <w:rsid w:val="00964F3A"/>
    <w:rsid w:val="00986463"/>
    <w:rsid w:val="009E62F2"/>
    <w:rsid w:val="00A31EC6"/>
    <w:rsid w:val="00A4706A"/>
    <w:rsid w:val="00A6720C"/>
    <w:rsid w:val="00A76845"/>
    <w:rsid w:val="00AB6EF2"/>
    <w:rsid w:val="00AC0ED5"/>
    <w:rsid w:val="00C142D4"/>
    <w:rsid w:val="00C14F2D"/>
    <w:rsid w:val="00C16B23"/>
    <w:rsid w:val="00C42B45"/>
    <w:rsid w:val="00CB505A"/>
    <w:rsid w:val="00CD2A60"/>
    <w:rsid w:val="00D01FDA"/>
    <w:rsid w:val="00D31B48"/>
    <w:rsid w:val="00D33B9C"/>
    <w:rsid w:val="00DA5664"/>
    <w:rsid w:val="00DD3750"/>
    <w:rsid w:val="00E07BDE"/>
    <w:rsid w:val="00E161AB"/>
    <w:rsid w:val="00E2223D"/>
    <w:rsid w:val="00E8180D"/>
    <w:rsid w:val="00E97136"/>
    <w:rsid w:val="00EB5789"/>
    <w:rsid w:val="00EF717A"/>
    <w:rsid w:val="00FD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32F32"/>
  <w15:chartTrackingRefBased/>
  <w15:docId w15:val="{E53DC1A7-4A88-4ED4-999A-569E8C0A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5C"/>
    <w:pPr>
      <w:ind w:left="720"/>
      <w:contextualSpacing/>
    </w:pPr>
  </w:style>
  <w:style w:type="table" w:styleId="TableGrid">
    <w:name w:val="Table Grid"/>
    <w:basedOn w:val="TableNormal"/>
    <w:uiPriority w:val="39"/>
    <w:rsid w:val="007D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4F3200"/>
  </w:style>
  <w:style w:type="character" w:styleId="Hyperlink">
    <w:name w:val="Hyperlink"/>
    <w:basedOn w:val="DefaultParagraphFont"/>
    <w:uiPriority w:val="99"/>
    <w:unhideWhenUsed/>
    <w:rsid w:val="001B680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3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574BF7-3004-4AD0-8E43-106D2B101DE2}"/>
</file>

<file path=customXml/itemProps2.xml><?xml version="1.0" encoding="utf-8"?>
<ds:datastoreItem xmlns:ds="http://schemas.openxmlformats.org/officeDocument/2006/customXml" ds:itemID="{BFB3C2F9-99E7-455F-B632-3CB7F6A66C6C}"/>
</file>

<file path=customXml/itemProps3.xml><?xml version="1.0" encoding="utf-8"?>
<ds:datastoreItem xmlns:ds="http://schemas.openxmlformats.org/officeDocument/2006/customXml" ds:itemID="{1221F756-75D7-4069-9E22-E48BB1D8A0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George Gardner</cp:lastModifiedBy>
  <cp:revision>16</cp:revision>
  <dcterms:created xsi:type="dcterms:W3CDTF">2024-02-20T15:48:00Z</dcterms:created>
  <dcterms:modified xsi:type="dcterms:W3CDTF">2024-02-20T17:02:00Z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